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"/>
        <w:bidi w:val="0"/>
      </w:pPr>
      <w:r>
        <w:rPr>
          <w:rtl w:val="0"/>
        </w:rPr>
        <w:t>視訊會議使用的軟體：</w:t>
      </w:r>
      <w:r>
        <w:rPr>
          <w:rFonts w:ascii="PingFang TC Regular" w:hAnsi="PingFang TC Regular" w:eastAsia="Arial Unicode MS"/>
          <w:rtl w:val="0"/>
          <w:lang w:val="en-US"/>
        </w:rPr>
        <w:t>Teams</w:t>
      </w:r>
    </w:p>
    <w:p>
      <w:pPr>
        <w:pStyle w:val="內文"/>
        <w:bidi w:val="0"/>
      </w:pPr>
    </w:p>
    <w:p>
      <w:pPr>
        <w:pStyle w:val="內文"/>
        <w:bidi w:val="0"/>
      </w:pPr>
      <w:r>
        <w:rPr>
          <w:rtl w:val="0"/>
        </w:rPr>
        <w:t>調查說明會的網址連結如下：</w:t>
      </w:r>
    </w:p>
    <w:p>
      <w:pPr>
        <w:pStyle w:val="內文"/>
        <w:bidi w:val="0"/>
      </w:pPr>
    </w:p>
    <w:p>
      <w:pPr>
        <w:pStyle w:val="內文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"https://teams.microsoft.com/l/meetup-join/19%3ameeting_Y2U0ZWI4YTUtYjgzNS00Y2Q0LThhNDQtYjdhOWRiODEyYWY4%40thread.v2/0?context=%7b%22Tid%22%3a%226ec46506-8a4e-4510-99a7-6bb1b79d675c%22%2c%22Oid%22%3a%2285bb6c23-49c8-4bf9-873a-962364d15c5f%22%7d"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PingFang TC Regular" w:hAnsi="PingFang TC Regular" w:eastAsia="Arial Unicode MS"/>
          <w:rtl w:val="0"/>
          <w:lang w:val="en-US"/>
        </w:rPr>
        <w:t>https://teams.microsoft.com/l/meetup-join/19%3ameeting_Y2U0ZWI4YTUtYjgzNS00Y2Q0LThhNDQtYjdhOWRiODEyYWY4%40thread.v2/0?context=%7b%22Tid%22%3a%226ec46506-8a4e-4510-99a7-6bb1b79d675c%22%2c%22Oid%22%3a%2285bb6c23-49c8-4bf9-873a-962364d15c5f%22%7d</w:t>
      </w:r>
      <w:r>
        <w:rPr/>
        <w:fldChar w:fldCharType="end" w:fldLock="0"/>
      </w:r>
    </w:p>
    <w:p>
      <w:pPr>
        <w:pStyle w:val="內文"/>
        <w:bidi w:val="0"/>
      </w:pPr>
    </w:p>
    <w:p>
      <w:pPr>
        <w:pStyle w:val="內文"/>
        <w:bidi w:val="0"/>
      </w:pPr>
    </w:p>
    <w:p>
      <w:pPr>
        <w:pStyle w:val="內文"/>
        <w:bidi w:val="0"/>
      </w:pPr>
    </w:p>
    <w:p>
      <w:pPr>
        <w:pStyle w:val="內文"/>
        <w:bidi w:val="0"/>
      </w:pPr>
      <w:r>
        <w:rPr>
          <w:rtl w:val="0"/>
        </w:rPr>
        <w:t>電腦的部分，只需要開啟瀏覽器，就可以進行視訊會議。</w:t>
      </w:r>
    </w:p>
    <w:p>
      <w:pPr>
        <w:pStyle w:val="內文"/>
        <w:bidi w:val="0"/>
      </w:pPr>
    </w:p>
    <w:p>
      <w:pPr>
        <w:pStyle w:val="內文"/>
        <w:bidi w:val="0"/>
      </w:pPr>
      <w:r>
        <w:rPr>
          <w:rtl w:val="0"/>
        </w:rPr>
        <w:t>手機或是平板電腦，需要先下載</w:t>
      </w:r>
      <w:r>
        <w:rPr>
          <w:rFonts w:ascii="PingFang TC Regular" w:hAnsi="PingFang TC Regular" w:eastAsia="Arial Unicode MS"/>
          <w:rtl w:val="0"/>
          <w:lang w:val="en-US"/>
        </w:rPr>
        <w:t>App store</w:t>
      </w:r>
      <w:r>
        <w:rPr>
          <w:rtl w:val="0"/>
        </w:rPr>
        <w:t>上的「</w:t>
      </w:r>
      <w:r>
        <w:rPr>
          <w:rFonts w:ascii="PingFang TC Regular" w:hAnsi="PingFang TC Regular" w:eastAsia="Arial Unicode MS"/>
          <w:rtl w:val="0"/>
          <w:lang w:val="en-US"/>
        </w:rPr>
        <w:t>Microsoft Teams</w:t>
      </w:r>
      <w:r>
        <w:rPr>
          <w:rtl w:val="0"/>
        </w:rPr>
        <w:t>」</w:t>
      </w:r>
      <w:r>
        <w:rPr>
          <w:rtl w:val="0"/>
          <w:lang w:val="en-US"/>
        </w:rPr>
        <w:t>，</w:t>
      </w:r>
      <w:r>
        <w:rPr>
          <w:rtl w:val="0"/>
        </w:rPr>
        <w:t>才有辦法進行視訊會議。</w:t>
      </w:r>
    </w:p>
    <w:p>
      <w:pPr>
        <w:pStyle w:val="內文"/>
        <w:bidi w:val="0"/>
      </w:pPr>
    </w:p>
    <w:p>
      <w:pPr>
        <w:pStyle w:val="內文"/>
        <w:bidi w:val="0"/>
      </w:pPr>
    </w:p>
    <w:p>
      <w:pPr>
        <w:pStyle w:val="內文"/>
        <w:bidi w:val="0"/>
      </w:pPr>
    </w:p>
    <w:p>
      <w:pPr>
        <w:pStyle w:val="內文"/>
        <w:bidi w:val="0"/>
      </w:pPr>
      <w:r>
        <w:rPr>
          <w:rtl w:val="0"/>
        </w:rPr>
        <w:t>若有任何問題，也可以加入「</w:t>
      </w:r>
      <w:r>
        <w:rPr>
          <w:rtl w:val="0"/>
        </w:rPr>
        <w:t>桃園航空城跨世代研究</w:t>
      </w:r>
      <w:r>
        <w:rPr>
          <w:rFonts w:ascii="PingFang TC Regular" w:hAnsi="PingFang TC Regular" w:eastAsia="Arial Unicode MS" w:hint="default"/>
          <w:rtl w:val="0"/>
          <w:lang w:val="en-US"/>
        </w:rPr>
        <w:t>—</w:t>
      </w:r>
      <w:r>
        <w:rPr>
          <w:rtl w:val="0"/>
        </w:rPr>
        <w:t>社會變遷對不同世代居民身心健康探討</w:t>
      </w:r>
      <w:r>
        <w:rPr>
          <w:rtl w:val="0"/>
        </w:rPr>
        <w:t>」官方</w:t>
      </w:r>
      <w:r>
        <w:rPr>
          <w:rFonts w:ascii="PingFang TC Regular" w:hAnsi="PingFang TC Regular" w:eastAsia="Arial Unicode MS"/>
          <w:rtl w:val="0"/>
          <w:lang w:val="en-US"/>
        </w:rPr>
        <w:t>Line</w:t>
      </w:r>
      <w:r>
        <w:rPr>
          <w:rtl w:val="0"/>
        </w:rPr>
        <w:t>，會有專人與您聯絡。</w:t>
      </w:r>
    </w:p>
    <w:p>
      <w:pPr>
        <w:pStyle w:val="內文"/>
        <w:bidi w:val="0"/>
      </w:pPr>
    </w:p>
    <w:p>
      <w:pPr>
        <w:pStyle w:val="內文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3126" w:hRule="atLeast"/>
        </w:trPr>
        <w:tc>
          <w:tcPr>
            <w:tcW w:type="dxa" w:w="3210"/>
            <w:tcBorders>
              <w:top w:val="single" w:color="ffffff" w:sz="24" w:space="0" w:shadow="0" w:frame="0"/>
              <w:left w:val="single" w:color="ffffff" w:sz="24" w:space="0" w:shadow="0" w:frame="0"/>
              <w:bottom w:val="single" w:color="ffffff" w:sz="24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bidi w:val="0"/>
            </w:pPr>
            <w:r>
              <w:drawing xmlns:a="http://schemas.openxmlformats.org/drawingml/2006/main">
                <wp:inline distT="0" distB="0" distL="0" distR="0">
                  <wp:extent cx="1887492" cy="1883997"/>
                  <wp:effectExtent l="0" t="0" r="0" b="0"/>
                  <wp:docPr id="1073741825" name="officeArt object" descr="TACC官方lin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TACC官方line.png" descr="TACC官方lin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492" cy="18839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10"/>
            <w:tcBorders>
              <w:top w:val="single" w:color="ffffff" w:sz="24" w:space="0" w:shadow="0" w:frame="0"/>
              <w:left w:val="single" w:color="ffffff" w:sz="24" w:space="0" w:shadow="0" w:frame="0"/>
              <w:bottom w:val="single" w:color="ffffff" w:sz="24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ffffff" w:sz="24" w:space="0" w:shadow="0" w:frame="0"/>
              <w:left w:val="single" w:color="ffffff" w:sz="24" w:space="0" w:shadow="0" w:frame="0"/>
              <w:bottom w:val="single" w:color="ffffff" w:sz="24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內文"/>
        <w:bidi w:val="0"/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T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預設值">
    <w:name w:val="預設值"/>
    <w:next w:val="預設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PingFang TC Regular" w:cs="PingFang TC Regular" w:hAnsi="PingFang TC Regular" w:eastAsia="PingFang TC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